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B2B33"/>
          <w:sz w:val="44"/>
        </w:rPr>
        <w:t>Brandschutzordnung Teil C</w:t>
      </w:r>
    </w:p>
    <w:p>
      <w:r>
        <w:rPr>
          <w:color w:val="46545E"/>
          <w:sz w:val="20"/>
        </w:rPr>
        <w:t>Für Beschäftigte mit besonderen Aufgaben im Brandschutz – ASR A2.2 Punkt 7.1 Absatz 4</w:t>
      </w:r>
    </w:p>
    <w:p>
      <w:r>
        <w:rPr>
          <w:i/>
          <w:color w:val="46545E"/>
          <w:sz w:val="18"/>
        </w:rPr>
        <w:t>Vorlage von kalibrat.de. Alles in [eckigen Klammern] gehört durch die Angaben des eigenen Betriebs ersetzt. Welche Maßnahmen nötig sind, ergibt die Gefährdungsbeurteilung.</w:t>
      </w:r>
    </w:p>
    <w:p>
      <w:pPr>
        <w:spacing w:before="320"/>
      </w:pPr>
      <w:r>
        <w:rPr>
          <w:b/>
          <w:color w:val="0B2B33"/>
          <w:sz w:val="28"/>
        </w:rPr>
        <w:t>1  Geltungsbereich</w:t>
      </w:r>
    </w:p>
    <w:p>
      <w:r>
        <w:rPr>
          <w:i/>
          <w:color w:val="46545E"/>
          <w:sz w:val="20"/>
        </w:rPr>
        <w:t>Teil C gilt für Beschäftigte mit besonderen Aufgaben im Brandschutz. Er wird ihnen gegen Nachweis bekannt gemacht (ASR A2.2 Punkt 7.1 Absatz 4).</w:t>
      </w:r>
    </w:p>
    <w:p>
      <w:pPr>
        <w:pStyle w:val="ListBullet"/>
        <w:spacing w:after="80"/>
      </w:pPr>
      <w:r>
        <w:t>Betrieb: [Name, Straße, Ort]</w:t>
      </w:r>
    </w:p>
    <w:p>
      <w:pPr>
        <w:pStyle w:val="ListBullet"/>
        <w:spacing w:after="80"/>
      </w:pPr>
      <w:r>
        <w:t>Er gilt für: [Brandschutzbeauftragter, Brandschutzhelfer, Evakuierungshelfer, Ersthelfer, Pförtner, Haustechnik]</w:t>
      </w:r>
    </w:p>
    <w:p>
      <w:pPr>
        <w:pStyle w:val="ListBullet"/>
        <w:spacing w:after="80"/>
      </w:pPr>
      <w:r>
        <w:t>Stand: [TT.MM.JJJJ] · nächste Überprüfung [TT.MM.JJJJ]</w:t>
      </w:r>
    </w:p>
    <w:p>
      <w:pPr>
        <w:spacing w:before="320"/>
      </w:pPr>
      <w:r>
        <w:rPr>
          <w:b/>
          <w:color w:val="0B2B33"/>
          <w:sz w:val="28"/>
        </w:rPr>
        <w:t>2  Aufgaben im Vorfeld</w:t>
      </w:r>
    </w:p>
    <w:p>
      <w:r>
        <w:rPr>
          <w:i/>
          <w:color w:val="46545E"/>
          <w:sz w:val="20"/>
        </w:rPr>
        <w:t>Was laufend zu tun ist, bevor irgendetwas passiert.</w:t>
      </w:r>
    </w:p>
    <w:p>
      <w:pPr>
        <w:pStyle w:val="ListBullet"/>
        <w:spacing w:after="80"/>
      </w:pPr>
      <w:r>
        <w:t>[Wer kontrolliert Fluchtwege, Türen und Löscheinrichtungen – wie oft?]</w:t>
      </w:r>
    </w:p>
    <w:p>
      <w:pPr>
        <w:pStyle w:val="ListBullet"/>
        <w:spacing w:after="80"/>
      </w:pPr>
      <w:r>
        <w:t>[Wer beauftragt die Prüfung der Feuerlöscher (alle zwei Jahre) und der Brandmeldeanlage?]</w:t>
      </w:r>
    </w:p>
    <w:p>
      <w:pPr>
        <w:pStyle w:val="ListBullet"/>
        <w:spacing w:after="80"/>
      </w:pPr>
      <w:r>
        <w:t>[Wer führt die Liste der Brandschutzhelfer und sorgt für die Wiederholung der Unterweisung mit Löschübung?]</w:t>
      </w:r>
    </w:p>
    <w:p>
      <w:pPr>
        <w:pStyle w:val="ListBullet"/>
        <w:spacing w:after="80"/>
      </w:pPr>
      <w:r>
        <w:t>[Wer hält den Flucht- und Rettungsplan aktuell?]</w:t>
      </w:r>
    </w:p>
    <w:p>
      <w:pPr>
        <w:pStyle w:val="ListBullet"/>
        <w:spacing w:after="80"/>
      </w:pPr>
      <w:r>
        <w:t>[Wer weist Fremdfirmen ein und erteilt Erlaubnisscheine für Heißarbeiten?]</w:t>
      </w:r>
    </w:p>
    <w:p>
      <w:pPr>
        <w:spacing w:before="320"/>
      </w:pPr>
      <w:r>
        <w:rPr>
          <w:b/>
          <w:color w:val="0B2B33"/>
          <w:sz w:val="28"/>
        </w:rPr>
        <w:t>3  Aufgaben im Brandfall</w:t>
      </w:r>
    </w:p>
    <w:p>
      <w:r>
        <w:rPr>
          <w:i/>
          <w:color w:val="46545E"/>
          <w:sz w:val="20"/>
        </w:rPr>
        <w:t>Wer übernimmt was – mit Namen und Telefonnummer, nicht mit Funktionen allein.</w:t>
      </w:r>
    </w:p>
    <w:p>
      <w:pPr>
        <w:pStyle w:val="ListBullet"/>
        <w:spacing w:after="80"/>
      </w:pPr>
      <w:r>
        <w:t>Alarmierung und Notruf: [Name, Telefon]</w:t>
      </w:r>
    </w:p>
    <w:p>
      <w:pPr>
        <w:pStyle w:val="ListBullet"/>
        <w:spacing w:after="80"/>
      </w:pPr>
      <w:r>
        <w:t>Evakuierung und Kontrolle der Bereiche: [wer kontrolliert welchen Bereich]</w:t>
      </w:r>
    </w:p>
    <w:p>
      <w:pPr>
        <w:pStyle w:val="ListBullet"/>
        <w:spacing w:after="80"/>
      </w:pPr>
      <w:r>
        <w:t>Sammelstelle, Vollzähligkeit feststellen und melden: [Name]</w:t>
      </w:r>
    </w:p>
    <w:p>
      <w:pPr>
        <w:pStyle w:val="ListBullet"/>
        <w:spacing w:after="80"/>
      </w:pPr>
      <w:r>
        <w:t>Einweisung der Feuerwehr, Schlüssel und Pläne bereithalten: [Name, wo]</w:t>
      </w:r>
    </w:p>
    <w:p>
      <w:pPr>
        <w:pStyle w:val="ListBullet"/>
        <w:spacing w:after="80"/>
      </w:pPr>
      <w:r>
        <w:t>Abschalten von Anlagen, Gas, Strom, Lüftung: [wer, welche Schalter, wo]</w:t>
      </w:r>
    </w:p>
    <w:p>
      <w:pPr>
        <w:pStyle w:val="ListBullet"/>
        <w:spacing w:after="80"/>
      </w:pPr>
      <w:r>
        <w:t>Erste Hilfe: [Namen der Ersthelfer, wo das Material liegt]</w:t>
      </w:r>
    </w:p>
    <w:p>
      <w:pPr>
        <w:spacing w:before="320"/>
      </w:pPr>
      <w:r>
        <w:rPr>
          <w:b/>
          <w:color w:val="0B2B33"/>
          <w:sz w:val="28"/>
        </w:rPr>
        <w:t>4  Aufgaben nach dem Brand</w:t>
      </w:r>
    </w:p>
    <w:p>
      <w:pPr>
        <w:pStyle w:val="ListBullet"/>
        <w:spacing w:after="80"/>
      </w:pPr>
      <w:r>
        <w:t>Brandstelle sichern, Freigabe abwarten: [wer entscheidet]</w:t>
      </w:r>
    </w:p>
    <w:p>
      <w:pPr>
        <w:pStyle w:val="ListBullet"/>
        <w:spacing w:after="80"/>
      </w:pPr>
      <w:r>
        <w:t>Meldungen an Behörden, Versicherung und Berufsgenossenschaft: [wer]</w:t>
      </w:r>
    </w:p>
    <w:p>
      <w:pPr>
        <w:pStyle w:val="ListBullet"/>
        <w:spacing w:after="80"/>
      </w:pPr>
      <w:r>
        <w:t>Instandsetzung und Wiederauffüllen der Löscheinrichtungen: [wer beauftragt]</w:t>
      </w:r>
    </w:p>
    <w:p>
      <w:pPr>
        <w:pStyle w:val="ListBullet"/>
        <w:spacing w:after="80"/>
      </w:pPr>
      <w:r>
        <w:t>Ursache auswerten, Maßnahmen anpassen: [wer]</w:t>
      </w:r>
    </w:p>
    <w:p>
      <w:pPr>
        <w:spacing w:before="320"/>
      </w:pPr>
      <w:r>
        <w:rPr>
          <w:b/>
          <w:color w:val="0B2B33"/>
          <w:sz w:val="28"/>
        </w:rPr>
        <w:t>5  Bekanntgabe gegen Nachweis</w:t>
      </w:r>
    </w:p>
    <w:p>
      <w:r>
        <w:rPr>
          <w:i/>
          <w:color w:val="46545E"/>
          <w:sz w:val="20"/>
        </w:rPr>
        <w:t>Die ASR A2.2 verlangt für Teil C den Nachweis. Diese Tabelle ist er.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/>
            <w:r>
              <w:rPr>
                <w:b/>
                <w:sz w:val="20"/>
              </w:rPr>
              <w:t>Name, Vorname</w:t>
            </w:r>
          </w:p>
        </w:tc>
        <w:tc>
          <w:tcPr>
            <w:tcW w:type="dxa" w:w="2436"/>
          </w:tcPr>
          <w:p>
            <w:r/>
            <w:r>
              <w:rPr>
                <w:b/>
                <w:sz w:val="20"/>
              </w:rPr>
              <w:t>Aufgabe</w:t>
            </w:r>
          </w:p>
        </w:tc>
        <w:tc>
          <w:tcPr>
            <w:tcW w:type="dxa" w:w="2436"/>
          </w:tcPr>
          <w:p>
            <w:r/>
            <w:r>
              <w:rPr>
                <w:b/>
                <w:sz w:val="20"/>
              </w:rPr>
              <w:t>Datum</w:t>
            </w:r>
          </w:p>
        </w:tc>
        <w:tc>
          <w:tcPr>
            <w:tcW w:type="dxa" w:w="2436"/>
          </w:tcPr>
          <w:p>
            <w:r/>
            <w:r>
              <w:rPr>
                <w:b/>
                <w:sz w:val="20"/>
              </w:rPr>
              <w:t>Unterschrift</w:t>
            </w:r>
          </w:p>
        </w:tc>
      </w:tr>
      <w:tr>
        <w:tc>
          <w:tcPr>
            <w:tcW w:type="dxa" w:w="2436"/>
          </w:tcPr>
          <w:p>
            <w:pPr>
              <w:spacing w:before="160" w:after="160"/>
            </w:pPr>
          </w:p>
        </w:tc>
        <w:tc>
          <w:tcPr>
            <w:tcW w:type="dxa" w:w="2436"/>
          </w:tcPr>
          <w:p>
            <w:pPr>
              <w:spacing w:before="160" w:after="160"/>
            </w:pPr>
          </w:p>
        </w:tc>
        <w:tc>
          <w:tcPr>
            <w:tcW w:type="dxa" w:w="2436"/>
          </w:tcPr>
          <w:p>
            <w:pPr>
              <w:spacing w:before="160" w:after="160"/>
            </w:pPr>
          </w:p>
        </w:tc>
        <w:tc>
          <w:tcPr>
            <w:tcW w:type="dxa" w:w="2436"/>
          </w:tcPr>
          <w:p>
            <w:pPr>
              <w:spacing w:before="160" w:after="160"/>
            </w:pPr>
          </w:p>
        </w:tc>
      </w:tr>
      <w:tr>
        <w:tc>
          <w:tcPr>
            <w:tcW w:type="dxa" w:w="2436"/>
          </w:tcPr>
          <w:p>
            <w:pPr>
              <w:spacing w:before="160" w:after="160"/>
            </w:pPr>
          </w:p>
        </w:tc>
        <w:tc>
          <w:tcPr>
            <w:tcW w:type="dxa" w:w="2436"/>
          </w:tcPr>
          <w:p>
            <w:pPr>
              <w:spacing w:before="160" w:after="160"/>
            </w:pPr>
          </w:p>
        </w:tc>
        <w:tc>
          <w:tcPr>
            <w:tcW w:type="dxa" w:w="2436"/>
          </w:tcPr>
          <w:p>
            <w:pPr>
              <w:spacing w:before="160" w:after="160"/>
            </w:pPr>
          </w:p>
        </w:tc>
        <w:tc>
          <w:tcPr>
            <w:tcW w:type="dxa" w:w="2436"/>
          </w:tcPr>
          <w:p>
            <w:pPr>
              <w:spacing w:before="160" w:after="160"/>
            </w:pPr>
          </w:p>
        </w:tc>
      </w:tr>
      <w:tr>
        <w:tc>
          <w:tcPr>
            <w:tcW w:type="dxa" w:w="2436"/>
          </w:tcPr>
          <w:p>
            <w:pPr>
              <w:spacing w:before="160" w:after="160"/>
            </w:pPr>
          </w:p>
        </w:tc>
        <w:tc>
          <w:tcPr>
            <w:tcW w:type="dxa" w:w="2436"/>
          </w:tcPr>
          <w:p>
            <w:pPr>
              <w:spacing w:before="160" w:after="160"/>
            </w:pPr>
          </w:p>
        </w:tc>
        <w:tc>
          <w:tcPr>
            <w:tcW w:type="dxa" w:w="2436"/>
          </w:tcPr>
          <w:p>
            <w:pPr>
              <w:spacing w:before="160" w:after="160"/>
            </w:pPr>
          </w:p>
        </w:tc>
        <w:tc>
          <w:tcPr>
            <w:tcW w:type="dxa" w:w="2436"/>
          </w:tcPr>
          <w:p>
            <w:pPr>
              <w:spacing w:before="160" w:after="160"/>
            </w:pPr>
          </w:p>
        </w:tc>
      </w:tr>
      <w:tr>
        <w:tc>
          <w:tcPr>
            <w:tcW w:type="dxa" w:w="2436"/>
          </w:tcPr>
          <w:p>
            <w:pPr>
              <w:spacing w:before="160" w:after="160"/>
            </w:pPr>
          </w:p>
        </w:tc>
        <w:tc>
          <w:tcPr>
            <w:tcW w:type="dxa" w:w="2436"/>
          </w:tcPr>
          <w:p>
            <w:pPr>
              <w:spacing w:before="160" w:after="160"/>
            </w:pPr>
          </w:p>
        </w:tc>
        <w:tc>
          <w:tcPr>
            <w:tcW w:type="dxa" w:w="2436"/>
          </w:tcPr>
          <w:p>
            <w:pPr>
              <w:spacing w:before="160" w:after="160"/>
            </w:pPr>
          </w:p>
        </w:tc>
        <w:tc>
          <w:tcPr>
            <w:tcW w:type="dxa" w:w="2436"/>
          </w:tcPr>
          <w:p>
            <w:pPr>
              <w:spacing w:before="160" w:after="160"/>
            </w:pPr>
          </w:p>
        </w:tc>
      </w:tr>
      <w:tr>
        <w:tc>
          <w:tcPr>
            <w:tcW w:type="dxa" w:w="2436"/>
          </w:tcPr>
          <w:p>
            <w:pPr>
              <w:spacing w:before="160" w:after="160"/>
            </w:pPr>
          </w:p>
        </w:tc>
        <w:tc>
          <w:tcPr>
            <w:tcW w:type="dxa" w:w="2436"/>
          </w:tcPr>
          <w:p>
            <w:pPr>
              <w:spacing w:before="160" w:after="160"/>
            </w:pPr>
          </w:p>
        </w:tc>
        <w:tc>
          <w:tcPr>
            <w:tcW w:type="dxa" w:w="2436"/>
          </w:tcPr>
          <w:p>
            <w:pPr>
              <w:spacing w:before="160" w:after="160"/>
            </w:pPr>
          </w:p>
        </w:tc>
        <w:tc>
          <w:tcPr>
            <w:tcW w:type="dxa" w:w="2436"/>
          </w:tcPr>
          <w:p>
            <w:pPr>
              <w:spacing w:before="160" w:after="160"/>
            </w:pPr>
          </w:p>
        </w:tc>
      </w:tr>
      <w:tr>
        <w:tc>
          <w:tcPr>
            <w:tcW w:type="dxa" w:w="2436"/>
          </w:tcPr>
          <w:p>
            <w:pPr>
              <w:spacing w:before="160" w:after="160"/>
            </w:pPr>
          </w:p>
        </w:tc>
        <w:tc>
          <w:tcPr>
            <w:tcW w:type="dxa" w:w="2436"/>
          </w:tcPr>
          <w:p>
            <w:pPr>
              <w:spacing w:before="160" w:after="160"/>
            </w:pPr>
          </w:p>
        </w:tc>
        <w:tc>
          <w:tcPr>
            <w:tcW w:type="dxa" w:w="2436"/>
          </w:tcPr>
          <w:p>
            <w:pPr>
              <w:spacing w:before="160" w:after="160"/>
            </w:pPr>
          </w:p>
        </w:tc>
        <w:tc>
          <w:tcPr>
            <w:tcW w:type="dxa" w:w="2436"/>
          </w:tcPr>
          <w:p>
            <w:pPr>
              <w:spacing w:before="160" w:after="160"/>
            </w:pPr>
          </w:p>
        </w:tc>
      </w:tr>
      <w:tr>
        <w:tc>
          <w:tcPr>
            <w:tcW w:type="dxa" w:w="2436"/>
          </w:tcPr>
          <w:p>
            <w:pPr>
              <w:spacing w:before="160" w:after="160"/>
            </w:pPr>
          </w:p>
        </w:tc>
        <w:tc>
          <w:tcPr>
            <w:tcW w:type="dxa" w:w="2436"/>
          </w:tcPr>
          <w:p>
            <w:pPr>
              <w:spacing w:before="160" w:after="160"/>
            </w:pPr>
          </w:p>
        </w:tc>
        <w:tc>
          <w:tcPr>
            <w:tcW w:type="dxa" w:w="2436"/>
          </w:tcPr>
          <w:p>
            <w:pPr>
              <w:spacing w:before="160" w:after="160"/>
            </w:pPr>
          </w:p>
        </w:tc>
        <w:tc>
          <w:tcPr>
            <w:tcW w:type="dxa" w:w="2436"/>
          </w:tcPr>
          <w:p>
            <w:pPr>
              <w:spacing w:before="160" w:after="160"/>
            </w:pPr>
          </w:p>
        </w:tc>
      </w:tr>
      <w:tr>
        <w:tc>
          <w:tcPr>
            <w:tcW w:type="dxa" w:w="2436"/>
          </w:tcPr>
          <w:p>
            <w:pPr>
              <w:spacing w:before="160" w:after="160"/>
            </w:pPr>
          </w:p>
        </w:tc>
        <w:tc>
          <w:tcPr>
            <w:tcW w:type="dxa" w:w="2436"/>
          </w:tcPr>
          <w:p>
            <w:pPr>
              <w:spacing w:before="160" w:after="160"/>
            </w:pPr>
          </w:p>
        </w:tc>
        <w:tc>
          <w:tcPr>
            <w:tcW w:type="dxa" w:w="2436"/>
          </w:tcPr>
          <w:p>
            <w:pPr>
              <w:spacing w:before="160" w:after="160"/>
            </w:pPr>
          </w:p>
        </w:tc>
        <w:tc>
          <w:tcPr>
            <w:tcW w:type="dxa" w:w="2436"/>
          </w:tcPr>
          <w:p>
            <w:pPr>
              <w:spacing w:before="160" w:after="160"/>
            </w:pPr>
          </w:p>
        </w:tc>
      </w:tr>
    </w:tbl>
    <w:p>
      <w:pPr>
        <w:spacing w:before="360"/>
        <w:jc w:val="left"/>
      </w:pPr>
      <w:r>
        <w:rPr>
          <w:color w:val="46545E"/>
          <w:sz w:val="16"/>
        </w:rPr>
        <w:t>Aufbau nach ASR A2.2 Punkt 7.1 (Ausgabe Mai 2018). Die DIN 14096 regelt den Aufbau einer Brandschutzordnung im Einzelnen und wird hier nicht wiedergegeben. Vorlage von kalibrat.de.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