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B33"/>
          <w:sz w:val="44"/>
        </w:rPr>
        <w:t>Brandschutzordnung Teil B</w:t>
      </w:r>
    </w:p>
    <w:p>
      <w:r>
        <w:rPr>
          <w:color w:val="46545E"/>
          <w:sz w:val="20"/>
        </w:rPr>
        <w:t>Für alle Beschäftigten – ASR A2.2 Punkt 7.1 Absatz 3</w:t>
      </w:r>
    </w:p>
    <w:p>
      <w:r>
        <w:rPr>
          <w:i/>
          <w:color w:val="46545E"/>
          <w:sz w:val="18"/>
        </w:rPr>
        <w:t>Vorlage von kalibrat.de. Alles in [eckigen Klammern] gehört durch die Angaben des eigenen Betriebs ersetzt. Welche Maßnahmen nötig sind, ergibt die Gefährdungsbeurteilung.</w:t>
      </w:r>
    </w:p>
    <w:p>
      <w:pPr>
        <w:spacing w:before="320"/>
      </w:pPr>
      <w:r>
        <w:rPr>
          <w:b/>
          <w:color w:val="0B2B33"/>
          <w:sz w:val="28"/>
        </w:rPr>
        <w:t>1  Geltungsbereich und Zweck</w:t>
      </w:r>
    </w:p>
    <w:p>
      <w:r>
        <w:rPr>
          <w:i/>
          <w:color w:val="46545E"/>
          <w:sz w:val="20"/>
        </w:rPr>
        <w:t>Für wen und wo diese Brandschutzordnung gilt.</w:t>
      </w:r>
    </w:p>
    <w:p>
      <w:pPr>
        <w:pStyle w:val="ListBullet"/>
        <w:spacing w:after="80"/>
      </w:pPr>
      <w:r>
        <w:t>Betrieb: [Name, Straße, Ort]</w:t>
      </w:r>
    </w:p>
    <w:p>
      <w:pPr>
        <w:pStyle w:val="ListBullet"/>
        <w:spacing w:after="80"/>
      </w:pPr>
      <w:r>
        <w:t>Gebäude und Bereiche: [welche]</w:t>
      </w:r>
    </w:p>
    <w:p>
      <w:pPr>
        <w:pStyle w:val="ListBullet"/>
        <w:spacing w:after="80"/>
      </w:pPr>
      <w:r>
        <w:t>Sie gilt für alle Beschäftigten sowie für Fremdfirmen und Besucher im Betrieb.</w:t>
      </w:r>
    </w:p>
    <w:p>
      <w:pPr>
        <w:pStyle w:val="ListBullet"/>
        <w:spacing w:after="80"/>
      </w:pPr>
      <w:r>
        <w:t>Stand: [TT.MM.JJJJ] · erstellt von [Name] · nächste Überprüfung [TT.MM.JJJJ]</w:t>
      </w:r>
    </w:p>
    <w:p>
      <w:pPr>
        <w:spacing w:before="320"/>
      </w:pPr>
      <w:r>
        <w:rPr>
          <w:b/>
          <w:color w:val="0B2B33"/>
          <w:sz w:val="28"/>
        </w:rPr>
        <w:t>2  Brandverhütung</w:t>
      </w:r>
    </w:p>
    <w:p>
      <w:r>
        <w:rPr>
          <w:i/>
          <w:color w:val="46545E"/>
          <w:sz w:val="20"/>
        </w:rPr>
        <w:t>Was jede und jeder täglich tut, damit kein Brand entsteht.</w:t>
      </w:r>
    </w:p>
    <w:p>
      <w:pPr>
        <w:pStyle w:val="ListBullet"/>
        <w:spacing w:after="80"/>
      </w:pPr>
      <w:r>
        <w:t>Rauchverbot: [wo es gilt, wo geraucht werden darf]</w:t>
      </w:r>
    </w:p>
    <w:p>
      <w:pPr>
        <w:pStyle w:val="ListBullet"/>
        <w:spacing w:after="80"/>
      </w:pPr>
      <w:r>
        <w:t>Umgang mit brennbaren Flüssigkeiten und Gasen: [welche, wo gelagert, welche Mengen]</w:t>
      </w:r>
    </w:p>
    <w:p>
      <w:pPr>
        <w:pStyle w:val="ListBullet"/>
        <w:spacing w:after="80"/>
      </w:pPr>
      <w:r>
        <w:t>Heißarbeiten nur mit Erlaubnisschein: [wer stellt ihn aus, wer überwacht die Nachschau]</w:t>
      </w:r>
    </w:p>
    <w:p>
      <w:pPr>
        <w:pStyle w:val="ListBullet"/>
        <w:spacing w:after="80"/>
      </w:pPr>
      <w:r>
        <w:t>Ladeplätze für Akkus und Flurförderzeuge: [wo, mit welchen Regeln]</w:t>
      </w:r>
    </w:p>
    <w:p>
      <w:pPr>
        <w:pStyle w:val="ListBullet"/>
        <w:spacing w:after="80"/>
      </w:pPr>
      <w:r>
        <w:t>Ordnung und Sauberkeit, Abfälle: [wer räumt was, wie oft]</w:t>
      </w:r>
    </w:p>
    <w:p>
      <w:pPr>
        <w:pStyle w:val="ListBullet"/>
        <w:spacing w:after="80"/>
      </w:pPr>
      <w:r>
        <w:t>Elektrische Anlagen und Geräte: Mängel melden an [Name], keine Reparatur in Eigenregie.</w:t>
      </w:r>
    </w:p>
    <w:p>
      <w:pPr>
        <w:spacing w:before="320"/>
      </w:pPr>
      <w:r>
        <w:rPr>
          <w:b/>
          <w:color w:val="0B2B33"/>
          <w:sz w:val="28"/>
        </w:rPr>
        <w:t>3  Brand- und Rauchausbreitung verhindern</w:t>
      </w:r>
    </w:p>
    <w:p>
      <w:r>
        <w:rPr>
          <w:i/>
          <w:color w:val="46545E"/>
          <w:sz w:val="20"/>
        </w:rPr>
        <w:t>Die baulichen Maßnahmen wirken nur, wenn sie benutzt werden.</w:t>
      </w:r>
    </w:p>
    <w:p>
      <w:pPr>
        <w:pStyle w:val="ListBullet"/>
        <w:spacing w:after="80"/>
      </w:pPr>
      <w:r>
        <w:t>Brandschutztüren geschlossen halten, nicht verkeilen und nicht festbinden.</w:t>
      </w:r>
    </w:p>
    <w:p>
      <w:pPr>
        <w:pStyle w:val="ListBullet"/>
        <w:spacing w:after="80"/>
      </w:pPr>
      <w:r>
        <w:t>Durchbrüche und Abschottungen nach Arbeiten wieder verschließen: [wer prüft das]</w:t>
      </w:r>
    </w:p>
    <w:p>
      <w:pPr>
        <w:pStyle w:val="ListBullet"/>
        <w:spacing w:after="80"/>
      </w:pPr>
      <w:r>
        <w:t>Lagerhöhen und Abstände zu Heizungen und Leuchten einhalten: [welche]</w:t>
      </w:r>
    </w:p>
    <w:p>
      <w:pPr>
        <w:spacing w:before="320"/>
      </w:pPr>
      <w:r>
        <w:rPr>
          <w:b/>
          <w:color w:val="0B2B33"/>
          <w:sz w:val="28"/>
        </w:rPr>
        <w:t>4  Flucht- und Rettungswege</w:t>
      </w:r>
    </w:p>
    <w:p>
      <w:r>
        <w:rPr>
          <w:i/>
          <w:color w:val="46545E"/>
          <w:sz w:val="20"/>
        </w:rPr>
        <w:t>Der Weg nach draußen muss im Rauch auch dann stimmen, wenn niemand nachdenkt.</w:t>
      </w:r>
    </w:p>
    <w:p>
      <w:pPr>
        <w:pStyle w:val="ListBullet"/>
        <w:spacing w:after="80"/>
      </w:pPr>
      <w:r>
        <w:t>Flucht- und Rettungsplan hängt aus: [wo]</w:t>
      </w:r>
    </w:p>
    <w:p>
      <w:pPr>
        <w:pStyle w:val="ListBullet"/>
        <w:spacing w:after="80"/>
      </w:pPr>
      <w:r>
        <w:t>Fluchtwege und Notausgänge freihalten, Türen nicht abschließen.</w:t>
      </w:r>
    </w:p>
    <w:p>
      <w:pPr>
        <w:pStyle w:val="ListBullet"/>
        <w:spacing w:after="80"/>
      </w:pPr>
      <w:r>
        <w:t>Sammelstelle: [wo]</w:t>
      </w:r>
    </w:p>
    <w:p>
      <w:pPr>
        <w:pStyle w:val="ListBullet"/>
        <w:spacing w:after="80"/>
      </w:pPr>
      <w:r>
        <w:t>Aufzüge im Brandfall nicht benutzen.</w:t>
      </w:r>
    </w:p>
    <w:p>
      <w:pPr>
        <w:spacing w:before="320"/>
      </w:pPr>
      <w:r>
        <w:rPr>
          <w:b/>
          <w:color w:val="0B2B33"/>
          <w:sz w:val="28"/>
        </w:rPr>
        <w:t>5  Melde- und Löscheinrichtungen</w:t>
      </w:r>
    </w:p>
    <w:p>
      <w:r>
        <w:rPr>
          <w:i/>
          <w:color w:val="46545E"/>
          <w:sz w:val="20"/>
        </w:rPr>
        <w:t>Wo im Ernstfall gegriffen wird, muss vorher bekannt sein.</w:t>
      </w:r>
    </w:p>
    <w:p>
      <w:pPr>
        <w:pStyle w:val="ListBullet"/>
        <w:spacing w:after="80"/>
      </w:pPr>
      <w:r>
        <w:t>Feuerlöscher: [Standorte, Anzahl, Art]</w:t>
      </w:r>
    </w:p>
    <w:p>
      <w:pPr>
        <w:pStyle w:val="ListBullet"/>
        <w:spacing w:after="80"/>
      </w:pPr>
      <w:r>
        <w:t>Wandhydranten, Löschdecke, Brandmelder, Hausalarm: [wo, wie ausgelöst]</w:t>
      </w:r>
    </w:p>
    <w:p>
      <w:pPr>
        <w:pStyle w:val="ListBullet"/>
        <w:spacing w:after="80"/>
      </w:pPr>
      <w:r>
        <w:t>Alarmsignal: [wie es klingt, was dann zu tun ist]</w:t>
      </w:r>
    </w:p>
    <w:p>
      <w:pPr>
        <w:pStyle w:val="ListBullet"/>
        <w:spacing w:after="80"/>
      </w:pPr>
      <w:r>
        <w:t>Benutzte oder beschädigte Löscheinrichtungen melden an [Name] – einen benutzten Feuerlöscher nicht zurückhängen.</w:t>
      </w:r>
    </w:p>
    <w:p>
      <w:pPr>
        <w:spacing w:before="320"/>
      </w:pPr>
      <w:r>
        <w:rPr>
          <w:b/>
          <w:color w:val="0B2B33"/>
          <w:sz w:val="28"/>
        </w:rPr>
        <w:t>6  Verhalten im Brandfall</w:t>
      </w:r>
    </w:p>
    <w:p>
      <w:r>
        <w:rPr>
          <w:i/>
          <w:color w:val="46545E"/>
          <w:sz w:val="20"/>
        </w:rPr>
        <w:t>Dieselbe Reihenfolge wie auf dem Aushang – hier mit den Einzelheiten des Betriebs.</w:t>
      </w:r>
    </w:p>
    <w:p>
      <w:pPr>
        <w:pStyle w:val="ListBullet"/>
        <w:spacing w:after="80"/>
      </w:pPr>
      <w:r>
        <w:t>Ruhe bewahren.</w:t>
      </w:r>
    </w:p>
    <w:p>
      <w:pPr>
        <w:pStyle w:val="ListBullet"/>
        <w:spacing w:after="80"/>
      </w:pPr>
      <w:r>
        <w:t>Brand melden: Notruf 112, intern [Telefonnummer]. Wo brennt es? Was brennt? Wie viele Betroffene? Rückfragen abwarten.</w:t>
      </w:r>
    </w:p>
    <w:p>
      <w:pPr>
        <w:pStyle w:val="ListBullet"/>
        <w:spacing w:after="80"/>
      </w:pPr>
      <w:r>
        <w:t>In Sicherheit bringen: gefährdete Personen mitnehmen, Türen schließen, Fluchtwege benutzen, zur Sammelstelle gehen und sich dort melden.</w:t>
      </w:r>
    </w:p>
    <w:p>
      <w:pPr>
        <w:pStyle w:val="ListBullet"/>
        <w:spacing w:after="80"/>
      </w:pPr>
      <w:r>
        <w:t>Maschinen und Anlagen abschalten, soweit es gefahrlos möglich ist: [welche, wie]</w:t>
      </w:r>
    </w:p>
    <w:p>
      <w:pPr>
        <w:pStyle w:val="ListBullet"/>
        <w:spacing w:after="80"/>
      </w:pPr>
      <w:r>
        <w:t>Löschversuch nur ohne eigene Gefährdung.</w:t>
      </w:r>
    </w:p>
    <w:p>
      <w:pPr>
        <w:pStyle w:val="ListBullet"/>
        <w:spacing w:after="80"/>
      </w:pPr>
      <w:r>
        <w:t>Der Feuerwehr entgegengehen und einweisen: [wer, an welcher Stelle]</w:t>
      </w:r>
    </w:p>
    <w:p>
      <w:pPr>
        <w:spacing w:before="320"/>
      </w:pPr>
      <w:r>
        <w:rPr>
          <w:b/>
          <w:color w:val="0B2B33"/>
          <w:sz w:val="28"/>
        </w:rPr>
        <w:t>7  Besondere Verhaltensregeln</w:t>
      </w:r>
    </w:p>
    <w:p>
      <w:r>
        <w:rPr>
          <w:i/>
          <w:color w:val="46545E"/>
          <w:sz w:val="20"/>
        </w:rPr>
        <w:t>Was nur in diesem Betrieb gilt.</w:t>
      </w:r>
    </w:p>
    <w:p>
      <w:pPr>
        <w:pStyle w:val="ListBullet"/>
        <w:spacing w:after="80"/>
      </w:pPr>
      <w:r>
        <w:t>[Gefahrstoffe, Gase, Stäube – was im Brandfall besonders zu beachten ist]</w:t>
      </w:r>
    </w:p>
    <w:p>
      <w:pPr>
        <w:pStyle w:val="ListBullet"/>
        <w:spacing w:after="80"/>
      </w:pPr>
      <w:r>
        <w:t>[Anlagen, die nicht mit Wasser gelöscht werden dürfen]</w:t>
      </w:r>
    </w:p>
    <w:p>
      <w:pPr>
        <w:pStyle w:val="ListBullet"/>
        <w:spacing w:after="80"/>
      </w:pPr>
      <w:r>
        <w:t>[Bereiche mit erhöhter Brandgefährdung]</w:t>
      </w:r>
    </w:p>
    <w:p>
      <w:pPr>
        <w:pStyle w:val="ListBullet"/>
        <w:spacing w:after="80"/>
      </w:pPr>
      <w:r>
        <w:t>[Alleinarbeit, Nachtschicht, Wochenende]</w:t>
      </w:r>
    </w:p>
    <w:p>
      <w:pPr>
        <w:spacing w:before="320"/>
      </w:pPr>
      <w:r>
        <w:rPr>
          <w:b/>
          <w:color w:val="0B2B33"/>
          <w:sz w:val="28"/>
        </w:rPr>
        <w:t>8  Nach dem Brand</w:t>
      </w:r>
    </w:p>
    <w:p>
      <w:r>
        <w:rPr>
          <w:i/>
          <w:color w:val="46545E"/>
          <w:sz w:val="20"/>
        </w:rPr>
        <w:t>Damit der Betrieb nicht mit der Feuerwehr endet.</w:t>
      </w:r>
    </w:p>
    <w:p>
      <w:pPr>
        <w:pStyle w:val="ListBullet"/>
        <w:spacing w:after="80"/>
      </w:pPr>
      <w:r>
        <w:t>Brandstelle erst nach Freigabe durch [Feuerwehr / Name] wieder betreten.</w:t>
      </w:r>
    </w:p>
    <w:p>
      <w:pPr>
        <w:pStyle w:val="ListBullet"/>
        <w:spacing w:after="80"/>
      </w:pPr>
      <w:r>
        <w:t>Unfall oder Verletzung an [Name] und an die Berufsgenossenschaft melden.</w:t>
      </w:r>
    </w:p>
    <w:p>
      <w:pPr>
        <w:pStyle w:val="ListBullet"/>
        <w:spacing w:after="80"/>
      </w:pPr>
      <w:r>
        <w:t>Löscheinrichtungen wieder auffüllen lassen: [wer beauftragt]</w:t>
      </w:r>
    </w:p>
    <w:p>
      <w:pPr>
        <w:pStyle w:val="ListBullet"/>
        <w:spacing w:after="80"/>
      </w:pPr>
      <w:r>
        <w:t>Gefährdungsbeurteilung und diese Brandschutzordnung überprüfen.</w:t>
      </w:r>
    </w:p>
    <w:p>
      <w:pPr>
        <w:spacing w:before="320"/>
      </w:pPr>
      <w:r>
        <w:rPr>
          <w:b/>
          <w:color w:val="0B2B33"/>
          <w:sz w:val="28"/>
        </w:rPr>
        <w:t>9  Anlagen</w:t>
      </w:r>
    </w:p>
    <w:p>
      <w:pPr>
        <w:pStyle w:val="ListBullet"/>
        <w:spacing w:after="80"/>
      </w:pPr>
      <w:r>
        <w:t>Flucht- und Rettungsplan</w:t>
      </w:r>
    </w:p>
    <w:p>
      <w:pPr>
        <w:pStyle w:val="ListBullet"/>
        <w:spacing w:after="80"/>
      </w:pPr>
      <w:r>
        <w:t>Liste der Brandschutzhelfer und Ersthelfer</w:t>
      </w:r>
    </w:p>
    <w:p>
      <w:pPr>
        <w:pStyle w:val="ListBullet"/>
        <w:spacing w:after="80"/>
      </w:pPr>
      <w:r>
        <w:t>[weitere Anlagen]</w:t>
      </w:r>
    </w:p>
    <w:p>
      <w:pPr>
        <w:spacing w:before="360"/>
        <w:jc w:val="left"/>
      </w:pPr>
      <w:r>
        <w:rPr>
          <w:color w:val="46545E"/>
          <w:sz w:val="16"/>
        </w:rPr>
        <w:t>Aufbau nach ASR A2.2 Punkt 7.1 (Ausgabe Mai 2018). Die DIN 14096 regelt den Aufbau einer Brandschutzordnung im Einzelnen und wird hier nicht wiedergegeben. Vorlage von kalibrat.de.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